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市级管理的中心城区居民用水价格表</w:t>
      </w:r>
    </w:p>
    <w:bookmarkEnd w:id="0"/>
    <w:p>
      <w:pPr>
        <w:pStyle w:val="4"/>
        <w:jc w:val="righ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单位：元/立方米</w:t>
      </w: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488"/>
        <w:gridCol w:w="1577"/>
        <w:gridCol w:w="2238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55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项目</w:t>
            </w:r>
          </w:p>
        </w:tc>
        <w:tc>
          <w:tcPr>
            <w:tcW w:w="873" w:type="pct"/>
            <w:vMerge w:val="restar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综合水价</w:t>
            </w:r>
          </w:p>
        </w:tc>
        <w:tc>
          <w:tcPr>
            <w:tcW w:w="2871" w:type="pct"/>
            <w:gridSpan w:val="3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5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分类</w:t>
            </w:r>
          </w:p>
        </w:tc>
        <w:tc>
          <w:tcPr>
            <w:tcW w:w="873" w:type="pct"/>
            <w:vMerge w:val="continue"/>
            <w:noWrap w:val="0"/>
            <w:vAlign w:val="center"/>
          </w:tcPr>
          <w:p>
            <w:pPr>
              <w:pStyle w:val="5"/>
            </w:pPr>
          </w:p>
        </w:tc>
        <w:tc>
          <w:tcPr>
            <w:tcW w:w="925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基本水价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水资源税（不征税自来水）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污水处理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55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生活用水</w:t>
            </w:r>
          </w:p>
        </w:tc>
        <w:tc>
          <w:tcPr>
            <w:tcW w:w="873" w:type="pct"/>
            <w:noWrap w:val="0"/>
            <w:vAlign w:val="center"/>
          </w:tcPr>
          <w:p>
            <w:pPr>
              <w:pStyle w:val="5"/>
            </w:pPr>
            <w:r>
              <w:t>3.225</w:t>
            </w:r>
          </w:p>
        </w:tc>
        <w:tc>
          <w:tcPr>
            <w:tcW w:w="925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1.60</w:t>
            </w:r>
          </w:p>
        </w:tc>
        <w:tc>
          <w:tcPr>
            <w:tcW w:w="131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0</w:t>
            </w:r>
            <w:r>
              <w:t>.625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>1</w:t>
            </w:r>
            <w: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255" w:type="pct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3744" w:type="pct"/>
            <w:gridSpan w:val="4"/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1、对使用二次加压设备的小区，二次加压供水每吨收取0.30元的成本费（没有加压的小区不得收取）。</w:t>
            </w:r>
          </w:p>
          <w:p>
            <w:pPr>
              <w:spacing w:line="240" w:lineRule="exact"/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2、原水资源费按照“税费平移”的原则，暂按原标准计入水价，待水价调整时一并理顺。</w:t>
            </w:r>
          </w:p>
          <w:p>
            <w:pPr>
              <w:spacing w:line="240" w:lineRule="exact"/>
              <w:ind w:firstLine="400" w:firstLineChars="20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bidi="ar"/>
              </w:rPr>
              <w:t>3、居民用水价格由区县管理的，水价以区县制定价格为准。</w:t>
            </w:r>
          </w:p>
          <w:p>
            <w:pPr>
              <w:spacing w:line="200" w:lineRule="exact"/>
              <w:rPr>
                <w:rFonts w:hint="eastAsia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jc w:val="left"/>
        <w:rPr>
          <w:rFonts w:hint="eastAsia" w:ascii="仿宋_GB2312" w:hAnsi="仿宋_GB2312" w:eastAsia="仿宋_GB2312"/>
          <w:color w:val="0E0E0E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D24FE"/>
    <w:rsid w:val="0F7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名称"/>
    <w:basedOn w:val="1"/>
    <w:qFormat/>
    <w:uiPriority w:val="0"/>
    <w:pPr>
      <w:ind w:firstLine="482"/>
      <w:jc w:val="center"/>
    </w:pPr>
    <w:rPr>
      <w:b/>
    </w:rPr>
  </w:style>
  <w:style w:type="paragraph" w:customStyle="1" w:styleId="5">
    <w:name w:val="表格文字"/>
    <w:basedOn w:val="1"/>
    <w:qFormat/>
    <w:uiPriority w:val="0"/>
    <w:pPr>
      <w:ind w:firstLine="0" w:firstLineChars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2020-06-03T01:30:00Z</dcterms:created>
  <dc:creator>大脸猫</dc:creator>
  <cp:lastModifiedBy>大脸猫</cp:lastModifiedBy>
  <dcterms:modified xsi:type="dcterms:W3CDTF">2020-06-03T01:32:34Z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